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TEKNİK ŞARTNAME</w:t>
      </w:r>
    </w:p>
    <w:p>
      <w:r>
        <w:t>ÜRÜN ADI: PLA (Polylactic Acid) Filament</w:t>
      </w:r>
    </w:p>
    <w:p>
      <w:r>
        <w:t>KULLANIM AMACI: 3D Yazıcı Filamenti</w:t>
      </w:r>
    </w:p>
    <w:p>
      <w:pPr>
        <w:pStyle w:val="Heading1"/>
      </w:pPr>
      <w:r>
        <w:t>1. GİRİŞ</w:t>
      </w:r>
    </w:p>
    <w:p>
      <w:r>
        <w:t>Bu teknik şartname, 3D yazıcılarda kullanılmak üzere tedarik edilecek PLA filamentin teknik özelliklerini, kalite standartlarını, paketleme ve teslim koşullarını tanımlar.</w:t>
      </w:r>
    </w:p>
    <w:p>
      <w:pPr>
        <w:pStyle w:val="Heading1"/>
      </w:pPr>
      <w:r>
        <w:t>2. KULLANIM AMACI</w:t>
      </w:r>
    </w:p>
    <w:p>
      <w:r>
        <w:t>PLA filament, FDM (Fused Deposition Modeling) tipi 3D yazıcılarda prototipleme, modelleme ve parça üretimi amacıyla kullanılacaktır.</w:t>
      </w:r>
    </w:p>
    <w:p>
      <w:pPr>
        <w:pStyle w:val="Heading1"/>
      </w:pPr>
      <w:r>
        <w:t>3. TEKNİK ÖZELLİKLER</w:t>
      </w:r>
    </w:p>
    <w:tbl>
      <w:tblPr>
        <w:tblW w:type="auto" w:w="0"/>
        <w:tblLook w:firstColumn="1" w:firstRow="1" w:lastColumn="0" w:lastRow="0" w:noHBand="0" w:noVBand="1" w:val="04A0"/>
      </w:tblPr>
      <w:tblGrid>
        <w:gridCol w:w="4320"/>
        <w:gridCol w:w="4320"/>
      </w:tblGrid>
      <w:tr>
        <w:tc>
          <w:tcPr>
            <w:tcW w:type="dxa" w:w="4320"/>
          </w:tcPr>
          <w:p>
            <w:r>
              <w:t>Özellik</w:t>
            </w:r>
          </w:p>
        </w:tc>
        <w:tc>
          <w:tcPr>
            <w:tcW w:type="dxa" w:w="4320"/>
          </w:tcPr>
          <w:p>
            <w:r>
              <w:t>Değer / Aralık</w:t>
            </w:r>
          </w:p>
        </w:tc>
      </w:tr>
      <w:tr>
        <w:tc>
          <w:tcPr>
            <w:tcW w:type="dxa" w:w="4320"/>
          </w:tcPr>
          <w:p>
            <w:r>
              <w:t>Malzeme</w:t>
            </w:r>
          </w:p>
        </w:tc>
        <w:tc>
          <w:tcPr>
            <w:tcW w:type="dxa" w:w="4320"/>
          </w:tcPr>
          <w:p>
            <w:r>
              <w:t>PLA (Polylactic Acid)</w:t>
            </w:r>
          </w:p>
        </w:tc>
      </w:tr>
      <w:tr>
        <w:tc>
          <w:tcPr>
            <w:tcW w:type="dxa" w:w="4320"/>
          </w:tcPr>
          <w:p>
            <w:r>
              <w:t>Çap Toleransı</w:t>
            </w:r>
          </w:p>
        </w:tc>
        <w:tc>
          <w:tcPr>
            <w:tcW w:type="dxa" w:w="4320"/>
          </w:tcPr>
          <w:p>
            <w:r>
              <w:t>± 0.02 mm</w:t>
            </w:r>
          </w:p>
        </w:tc>
      </w:tr>
      <w:tr>
        <w:tc>
          <w:tcPr>
            <w:tcW w:type="dxa" w:w="4320"/>
          </w:tcPr>
          <w:p>
            <w:r>
              <w:t>Standart Çap</w:t>
            </w:r>
          </w:p>
        </w:tc>
        <w:tc>
          <w:tcPr>
            <w:tcW w:type="dxa" w:w="4320"/>
          </w:tcPr>
          <w:p>
            <w:r>
              <w:t>1.75 mm (isteğe göre 2.85 mm)</w:t>
            </w:r>
          </w:p>
        </w:tc>
      </w:tr>
      <w:tr>
        <w:tc>
          <w:tcPr>
            <w:tcW w:type="dxa" w:w="4320"/>
          </w:tcPr>
          <w:p>
            <w:r>
              <w:t>Baskı Sıcaklığı</w:t>
            </w:r>
          </w:p>
        </w:tc>
        <w:tc>
          <w:tcPr>
            <w:tcW w:type="dxa" w:w="4320"/>
          </w:tcPr>
          <w:p>
            <w:r>
              <w:t>190°C – 220°C</w:t>
            </w:r>
          </w:p>
        </w:tc>
      </w:tr>
      <w:tr>
        <w:tc>
          <w:tcPr>
            <w:tcW w:type="dxa" w:w="4320"/>
          </w:tcPr>
          <w:p>
            <w:r>
              <w:t>Tabla Sıcaklığı</w:t>
            </w:r>
          </w:p>
        </w:tc>
        <w:tc>
          <w:tcPr>
            <w:tcW w:type="dxa" w:w="4320"/>
          </w:tcPr>
          <w:p>
            <w:r>
              <w:t>0°C – 60°C</w:t>
            </w:r>
          </w:p>
        </w:tc>
      </w:tr>
      <w:tr>
        <w:tc>
          <w:tcPr>
            <w:tcW w:type="dxa" w:w="4320"/>
          </w:tcPr>
          <w:p>
            <w:r>
              <w:t>Yoğunluk</w:t>
            </w:r>
          </w:p>
        </w:tc>
        <w:tc>
          <w:tcPr>
            <w:tcW w:type="dxa" w:w="4320"/>
          </w:tcPr>
          <w:p>
            <w:r>
              <w:t>1.24 g/cm³</w:t>
            </w:r>
          </w:p>
        </w:tc>
      </w:tr>
      <w:tr>
        <w:tc>
          <w:tcPr>
            <w:tcW w:type="dxa" w:w="4320"/>
          </w:tcPr>
          <w:p>
            <w:r>
              <w:t>Renk</w:t>
            </w:r>
          </w:p>
        </w:tc>
        <w:tc>
          <w:tcPr>
            <w:tcW w:type="dxa" w:w="4320"/>
          </w:tcPr>
          <w:p>
            <w:r>
              <w:t>Çeşitli (siparişe göre değişebilir)</w:t>
            </w:r>
          </w:p>
        </w:tc>
      </w:tr>
      <w:tr>
        <w:tc>
          <w:tcPr>
            <w:tcW w:type="dxa" w:w="4320"/>
          </w:tcPr>
          <w:p>
            <w:r>
              <w:t>Ambalaj</w:t>
            </w:r>
          </w:p>
        </w:tc>
        <w:tc>
          <w:tcPr>
            <w:tcW w:type="dxa" w:w="4320"/>
          </w:tcPr>
          <w:p>
            <w:r>
              <w:t>Vakumlu ambalaj, nem alıcı ile birlikte</w:t>
            </w:r>
          </w:p>
        </w:tc>
      </w:tr>
    </w:tbl>
    <w:p>
      <w:pPr>
        <w:pStyle w:val="Heading1"/>
      </w:pPr>
      <w:r>
        <w:t>4. AMBALAJ VE ETİKETLEME</w:t>
      </w:r>
    </w:p>
    <w:p>
      <w:r>
        <w:t>Filamentler, vakumlu ambalaj içinde, neme dayanıklı şekilde paketlenmelidir. Ambalaj üzerinde aşağıdaki bilgiler yer almalıdır:</w:t>
        <w:br/>
        <w:t>- Üretici Firma</w:t>
        <w:br/>
        <w:t>- Malzeme Türü</w:t>
        <w:br/>
        <w:t>- Çap</w:t>
        <w:br/>
        <w:t>- Ağırlık</w:t>
        <w:br/>
        <w:t>- Üretim Tarihi ve Parti No</w:t>
        <w:br/>
        <w:t>- Renk</w:t>
      </w:r>
    </w:p>
    <w:p>
      <w:pPr>
        <w:pStyle w:val="Heading1"/>
      </w:pPr>
      <w:r>
        <w:t>5. SAKLAMA KOŞULLARI</w:t>
      </w:r>
    </w:p>
    <w:p>
      <w:r>
        <w:t>Filamentler kuru, serin ve doğrudan güneş ışığından uzak ortamlarda, ambalajı açılmamış şekilde saklanmalıdır.</w:t>
      </w:r>
    </w:p>
    <w:p>
      <w:pPr>
        <w:pStyle w:val="Heading1"/>
      </w:pPr>
      <w:r>
        <w:t>6. GARANTİ VE UYGUNLUK</w:t>
      </w:r>
    </w:p>
    <w:p>
      <w:r>
        <w:t>Tedarik edilen filamentler, ulusal ve uluslararası kalite standartlarına uygun olmalı, üretim hatalarına karşı en az 1 yıl garantili olmalıdır.</w:t>
      </w:r>
    </w:p>
    <w:p>
      <w:pPr>
        <w:pStyle w:val="Heading1"/>
      </w:pPr>
      <w:r>
        <w:t>7. TESLİMAT VE KABUL ŞARTLARI</w:t>
      </w:r>
    </w:p>
    <w:p>
      <w:r>
        <w:t>Ürünler sipariş tarihinden itibaren en geç 15 iş günü içerisinde teslim edilmeli, teslim sırasında teknik özellikler kontrol edilerek uygunluk onayı verilmelidir.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